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Практическая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консультация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родителей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Воспитываем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добротой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Воспитатель:Сидорова Е.А.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семейного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семейного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неблагополучия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поговорим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высшие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интеллектуальные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нравственным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чувствам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относится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доброта.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отзывчивость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душевное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стремление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сложное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многогранное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Выделяют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ступеней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Дружелюбие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доверительное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Честность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искренность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правдивость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мыслях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Отзывчивость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Сострадание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сочувствие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сопереживание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чужую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Благородство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высокая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самоотверженность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глубокое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сердечное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высшая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переживанию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вообще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переживанию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восприимчивость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сочувствовать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заботиться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относиться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Свойственная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бурная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реакция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происходящее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контактировать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чуткости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сверстникам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младшим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случаях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заботливы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успокоить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пожалеть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равнодушны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эгоистичны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Третьи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агрессивны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друзьям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оскорбить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игрушку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Благородные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незначительные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Одобрение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убедиться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Нередко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провоцируем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плохое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последовательными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спокойными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твердыми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доброжелательными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осознать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непослушный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рассчитывать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Недопустимы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грубость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злость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терпеть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извел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надоел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Повторяемые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перестают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значимыми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оставляйте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просьбу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отмачивайтесь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ограничивайтесь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коротким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наказывайте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проступок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впервые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случайно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ошибки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отождествляйте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плохо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плохой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порочна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снижает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самооценку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порождает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проступок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шлепнуть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вряд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поймет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ставьте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непослушному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братьев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сестер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сверстников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укоряя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Первоначально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присутствии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отрицательно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подобное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отрицательную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везде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сказанное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невзначай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услышано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забывайте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сторонам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подметить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красивое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впитает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естественно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материнское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обернется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Безусловно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приоритет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тянутся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рядом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обидят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Предлагаю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наполнить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сердечке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написано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пожалуйста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тезис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понимаете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прикрепите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сердечко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сердцу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